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8D7B07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F271182" w14:textId="7EADB0EF" w:rsidR="00977556" w:rsidRPr="006920D0" w:rsidRDefault="006B4CB5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10.2.</w:t>
            </w:r>
          </w:p>
        </w:tc>
      </w:tr>
      <w:tr w:rsidR="0091180B" w14:paraId="0615CF3B" w14:textId="77777777" w:rsidTr="00D5490C">
        <w:tc>
          <w:tcPr>
            <w:tcW w:w="6307" w:type="dxa"/>
            <w:tcMar>
              <w:right w:w="340" w:type="dxa"/>
            </w:tcMar>
          </w:tcPr>
          <w:p w14:paraId="2598E7F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6070348" w14:textId="2E395438" w:rsidR="0091180B" w:rsidRPr="0091180B" w:rsidRDefault="006B4CB5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57A306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BBB77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F9D9F22" w14:textId="77777777" w:rsidTr="00D5490C">
        <w:tc>
          <w:tcPr>
            <w:tcW w:w="6307" w:type="dxa"/>
            <w:tcMar>
              <w:right w:w="340" w:type="dxa"/>
            </w:tcMar>
          </w:tcPr>
          <w:p w14:paraId="6BA11B3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3D7EDE9" w14:textId="77777777" w:rsidR="0091180B" w:rsidRDefault="006B4CB5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Okleštěk,</w:t>
            </w:r>
          </w:p>
          <w:p w14:paraId="11B02943" w14:textId="77777777" w:rsidR="006B4CB5" w:rsidRDefault="006B4CB5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53C553F8" w14:textId="77777777" w:rsidR="006B4CB5" w:rsidRDefault="006B4CB5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Niče,</w:t>
            </w:r>
          </w:p>
          <w:p w14:paraId="1E9E07CA" w14:textId="543320BE" w:rsidR="006B4CB5" w:rsidRPr="0091180B" w:rsidRDefault="006B4CB5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021AB8B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CEEB185" w14:textId="39E8B4D8" w:rsidR="000F6BB5" w:rsidRDefault="006B4CB5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C1D10CE" w14:textId="62C79A70" w:rsidR="0091180B" w:rsidRPr="000F6BB5" w:rsidRDefault="006B4CB5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45493AC2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62CB39F" w14:textId="77777777" w:rsidR="000F6BB5" w:rsidRPr="000B4D2B" w:rsidRDefault="000F6BB5" w:rsidP="00EE5E8B">
            <w:pPr>
              <w:pStyle w:val="Podtren"/>
            </w:pPr>
          </w:p>
          <w:p w14:paraId="0BF3B9A0" w14:textId="569C7465" w:rsidR="000F6BB5" w:rsidRDefault="006B4CB5" w:rsidP="00EE5E8B">
            <w:pPr>
              <w:pStyle w:val="Radabodschze"/>
            </w:pPr>
            <w:r>
              <w:t>Dotační programy Olomouckého kraje – Seznam předpokládaných dotačních programů pro rok 2027</w:t>
            </w:r>
          </w:p>
          <w:p w14:paraId="2024F7F5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0D1426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5600CA1" w14:textId="5FBEFC82" w:rsidR="00977556" w:rsidRDefault="006B4CB5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E6F51E8" w14:textId="77777777" w:rsidTr="00871612">
        <w:tc>
          <w:tcPr>
            <w:tcW w:w="9212" w:type="dxa"/>
            <w:gridSpan w:val="2"/>
          </w:tcPr>
          <w:p w14:paraId="26ED0897" w14:textId="0156FEA9" w:rsidR="00977556" w:rsidRPr="00EE5E8B" w:rsidRDefault="006B4CB5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FA6354E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909E126" w14:textId="77777777" w:rsidTr="00A106CE">
        <w:tc>
          <w:tcPr>
            <w:tcW w:w="609" w:type="dxa"/>
          </w:tcPr>
          <w:p w14:paraId="6657CD45" w14:textId="2C4E1AA3" w:rsidR="007B494D" w:rsidRPr="009D6721" w:rsidRDefault="006B4CB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16ACB66" w14:textId="602C265C" w:rsidR="0031105F" w:rsidRPr="006B4CB5" w:rsidRDefault="006B4CB5" w:rsidP="006B4CB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6B4CB5">
              <w:rPr>
                <w:rFonts w:cs="Arial"/>
                <w:szCs w:val="24"/>
              </w:rPr>
              <w:t>návrh dotačních programů Olomouckého kraje uvedený v Seznamu předpokládaných dotačních programů Olomouckého kraje pro rok 2027 dle přílohy č. 1 usnesení</w:t>
            </w:r>
          </w:p>
        </w:tc>
      </w:tr>
    </w:tbl>
    <w:p w14:paraId="5B0F2128" w14:textId="77777777" w:rsidR="00AA661F" w:rsidRDefault="00AA661F" w:rsidP="00EE5E8B">
      <w:pPr>
        <w:pStyle w:val="nzvy"/>
        <w:rPr>
          <w:sz w:val="2"/>
          <w:szCs w:val="2"/>
        </w:rPr>
      </w:pPr>
    </w:p>
    <w:p w14:paraId="6E77D7C4" w14:textId="77777777" w:rsidR="00AA661F" w:rsidRPr="00AA661F" w:rsidRDefault="00AA661F" w:rsidP="00AA661F"/>
    <w:p w14:paraId="069D6B0D" w14:textId="77777777" w:rsidR="00AA661F" w:rsidRDefault="00AA661F" w:rsidP="00AA661F"/>
    <w:p w14:paraId="6020741D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B0A79D8" w14:textId="77777777" w:rsidTr="00B030C6">
        <w:tc>
          <w:tcPr>
            <w:tcW w:w="9210" w:type="dxa"/>
            <w:gridSpan w:val="2"/>
          </w:tcPr>
          <w:p w14:paraId="581364AF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DDF228D" w14:textId="77777777" w:rsidTr="00CB619F">
        <w:tc>
          <w:tcPr>
            <w:tcW w:w="2093" w:type="dxa"/>
          </w:tcPr>
          <w:p w14:paraId="5BF13F5D" w14:textId="603AFB41" w:rsidR="00C90A23" w:rsidRDefault="006B4CB5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118C234" w14:textId="51C5CAB9" w:rsidR="00C90A23" w:rsidRDefault="006B4CB5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6B4CB5" w14:paraId="115AB769" w14:textId="77777777" w:rsidTr="00CB619F">
        <w:tc>
          <w:tcPr>
            <w:tcW w:w="2093" w:type="dxa"/>
          </w:tcPr>
          <w:p w14:paraId="460ACD67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776BDC3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</w:tr>
      <w:tr w:rsidR="006B4CB5" w14:paraId="44D1A3EF" w14:textId="77777777" w:rsidTr="00CB619F">
        <w:tc>
          <w:tcPr>
            <w:tcW w:w="2093" w:type="dxa"/>
          </w:tcPr>
          <w:p w14:paraId="2FAE976D" w14:textId="4F70E633" w:rsidR="006B4CB5" w:rsidRDefault="006B4CB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7F3F382" w14:textId="393C0699" w:rsidR="006B4CB5" w:rsidRDefault="006B4CB5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6B4CB5" w14:paraId="18855DEC" w14:textId="77777777" w:rsidTr="00CB619F">
        <w:tc>
          <w:tcPr>
            <w:tcW w:w="2093" w:type="dxa"/>
          </w:tcPr>
          <w:p w14:paraId="38827539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FD7E551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</w:tr>
      <w:tr w:rsidR="006B4CB5" w14:paraId="722A5E04" w14:textId="77777777" w:rsidTr="00CB619F">
        <w:tc>
          <w:tcPr>
            <w:tcW w:w="2093" w:type="dxa"/>
          </w:tcPr>
          <w:p w14:paraId="7988C9D2" w14:textId="6B7BF1DB" w:rsidR="006B4CB5" w:rsidRDefault="006B4CB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FB37208" w14:textId="0CFA539A" w:rsidR="006B4CB5" w:rsidRDefault="006B4CB5" w:rsidP="00822DC7">
            <w:pPr>
              <w:keepNext/>
              <w:keepLines/>
              <w:spacing w:before="120" w:after="120"/>
            </w:pPr>
            <w:r>
              <w:t>Ing. Luděk Niče, vedoucí odboru kancelář hejtmana</w:t>
            </w:r>
          </w:p>
        </w:tc>
      </w:tr>
      <w:tr w:rsidR="006B4CB5" w14:paraId="1EE5A872" w14:textId="77777777" w:rsidTr="00CB619F">
        <w:tc>
          <w:tcPr>
            <w:tcW w:w="2093" w:type="dxa"/>
          </w:tcPr>
          <w:p w14:paraId="50D4626B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ED07A02" w14:textId="77777777" w:rsidR="006B4CB5" w:rsidRDefault="006B4CB5" w:rsidP="00822DC7">
            <w:pPr>
              <w:keepNext/>
              <w:keepLines/>
              <w:spacing w:before="120" w:after="120"/>
            </w:pPr>
          </w:p>
        </w:tc>
      </w:tr>
    </w:tbl>
    <w:p w14:paraId="343D570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84B5" w14:textId="77777777" w:rsidR="001C07EA" w:rsidRDefault="001C07EA">
      <w:r>
        <w:separator/>
      </w:r>
    </w:p>
  </w:endnote>
  <w:endnote w:type="continuationSeparator" w:id="0">
    <w:p w14:paraId="7C3A3BB7" w14:textId="77777777" w:rsidR="001C07EA" w:rsidRDefault="001C0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AB77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30CD111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42D2B" w14:textId="77777777" w:rsidR="001C07EA" w:rsidRDefault="001C07EA">
      <w:r>
        <w:separator/>
      </w:r>
    </w:p>
  </w:footnote>
  <w:footnote w:type="continuationSeparator" w:id="0">
    <w:p w14:paraId="1B15272A" w14:textId="77777777" w:rsidR="001C07EA" w:rsidRDefault="001C0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42EA2" w14:textId="77777777" w:rsidR="00F166CE" w:rsidRDefault="00F166CE">
    <w:pPr>
      <w:pStyle w:val="Zhlav"/>
    </w:pPr>
  </w:p>
  <w:p w14:paraId="0B2DDA1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4CB5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C07EA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4CB5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36A0C7"/>
  <w15:chartTrackingRefBased/>
  <w15:docId w15:val="{4BB4FA2F-E0E2-4E18-9FD8-8F39D403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